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9BE02" w14:textId="77777777" w:rsidR="00013BFE" w:rsidRDefault="003D1E7D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171E139" wp14:editId="28D9FE2F">
            <wp:simplePos x="0" y="0"/>
            <wp:positionH relativeFrom="column">
              <wp:posOffset>-590550</wp:posOffset>
            </wp:positionH>
            <wp:positionV relativeFrom="paragraph">
              <wp:posOffset>-819150</wp:posOffset>
            </wp:positionV>
            <wp:extent cx="7372350" cy="10306050"/>
            <wp:effectExtent l="19050" t="0" r="0" b="0"/>
            <wp:wrapNone/>
            <wp:docPr id="1" name="圖片 0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30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DD6">
        <w:rPr>
          <w:rFonts w:hint="eastAsia"/>
        </w:rPr>
        <w:t xml:space="preserve">       </w:t>
      </w:r>
      <w:r w:rsidR="00475DEB">
        <w:pict w14:anchorId="4DF90693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65pt;height:32pt">
            <v:shadow color="#868686"/>
            <v:textpath style="font-family:&quot;標楷體&quot;;v-text-reverse:t;v-text-kern:t" trim="t" fitpath="t" string="琹云老師(Cherry)的課堂規則"/>
          </v:shape>
        </w:pict>
      </w:r>
    </w:p>
    <w:p w14:paraId="0ACB1E7C" w14:textId="77777777" w:rsidR="00992DD6" w:rsidRPr="00697C95" w:rsidRDefault="00992DD6">
      <w:pPr>
        <w:rPr>
          <w:rFonts w:ascii="華康鋼筆體W2(P)" w:eastAsia="華康鋼筆體W2(P)"/>
          <w:sz w:val="28"/>
          <w:szCs w:val="28"/>
        </w:rPr>
      </w:pPr>
      <w:r w:rsidRPr="00697C95">
        <w:rPr>
          <w:rFonts w:ascii="華康鋼筆體W2(P)" w:eastAsia="華康鋼筆體W2(P)" w:hint="eastAsia"/>
          <w:sz w:val="28"/>
          <w:szCs w:val="28"/>
        </w:rPr>
        <w:t>一、共同的約定</w:t>
      </w:r>
    </w:p>
    <w:p w14:paraId="2D5D20AA" w14:textId="77777777" w:rsidR="00992DD6" w:rsidRDefault="00E318B9" w:rsidP="00992DD6">
      <w:pPr>
        <w:pStyle w:val="a3"/>
        <w:numPr>
          <w:ilvl w:val="0"/>
          <w:numId w:val="2"/>
        </w:numPr>
        <w:ind w:leftChars="0"/>
        <w:rPr>
          <w:rFonts w:ascii="華康鋼筆體W2(P)" w:eastAsia="華康鋼筆體W2(P)"/>
        </w:rPr>
      </w:pPr>
      <w:r>
        <w:rPr>
          <w:rFonts w:ascii="華康鋼筆體W2(P)" w:eastAsia="華康鋼筆體W2(P)" w:hint="eastAsia"/>
        </w:rPr>
        <w:t>看到老師進教室要大聲說「老師好」</w:t>
      </w:r>
      <w:r w:rsidR="00992DD6">
        <w:rPr>
          <w:rFonts w:ascii="華康鋼筆體W2(P)" w:eastAsia="華康鋼筆體W2(P)" w:hint="eastAsia"/>
        </w:rPr>
        <w:t>。</w:t>
      </w:r>
    </w:p>
    <w:p w14:paraId="68BAD446" w14:textId="77777777" w:rsidR="00992DD6" w:rsidRDefault="00E318B9" w:rsidP="00992DD6">
      <w:pPr>
        <w:pStyle w:val="a3"/>
        <w:numPr>
          <w:ilvl w:val="0"/>
          <w:numId w:val="2"/>
        </w:numPr>
        <w:ind w:leftChars="0"/>
        <w:rPr>
          <w:rFonts w:ascii="華康鋼筆體W2(P)" w:eastAsia="華康鋼筆體W2(P)"/>
        </w:rPr>
      </w:pPr>
      <w:r>
        <w:rPr>
          <w:rFonts w:ascii="華康鋼筆體W2(P)" w:eastAsia="華康鋼筆體W2(P)" w:hint="eastAsia"/>
        </w:rPr>
        <w:t>上課時不可吃東西</w:t>
      </w:r>
      <w:r w:rsidR="00992DD6">
        <w:rPr>
          <w:rFonts w:ascii="華康鋼筆體W2(P)" w:eastAsia="華康鋼筆體W2(P)" w:hint="eastAsia"/>
        </w:rPr>
        <w:t>。</w:t>
      </w:r>
    </w:p>
    <w:p w14:paraId="626E7C4F" w14:textId="77777777" w:rsidR="00992DD6" w:rsidRDefault="00992DD6" w:rsidP="00992DD6">
      <w:pPr>
        <w:pStyle w:val="a3"/>
        <w:numPr>
          <w:ilvl w:val="0"/>
          <w:numId w:val="2"/>
        </w:numPr>
        <w:ind w:leftChars="0"/>
        <w:rPr>
          <w:rFonts w:ascii="華康鋼筆體W2(P)" w:eastAsia="華康鋼筆體W2(P)"/>
        </w:rPr>
      </w:pPr>
      <w:r>
        <w:rPr>
          <w:rFonts w:ascii="華康鋼筆體W2(P)" w:eastAsia="華康鋼筆體W2(P)" w:hint="eastAsia"/>
        </w:rPr>
        <w:t>備齊學用品，要借用請於下課時間，上課中勿隨意轉頭交談及走動。</w:t>
      </w:r>
    </w:p>
    <w:p w14:paraId="43A3DEB5" w14:textId="77777777" w:rsidR="002363A1" w:rsidRDefault="002363A1" w:rsidP="00992DD6">
      <w:pPr>
        <w:pStyle w:val="a3"/>
        <w:numPr>
          <w:ilvl w:val="0"/>
          <w:numId w:val="2"/>
        </w:numPr>
        <w:ind w:leftChars="0"/>
        <w:rPr>
          <w:rFonts w:ascii="華康鋼筆體W2(P)" w:eastAsia="華康鋼筆體W2(P)"/>
        </w:rPr>
      </w:pPr>
      <w:r>
        <w:rPr>
          <w:rFonts w:ascii="華康鋼筆體W2(P)" w:eastAsia="華康鋼筆體W2(P)" w:hint="eastAsia"/>
        </w:rPr>
        <w:t>請準備紅筆、藍筆</w:t>
      </w:r>
      <w:r w:rsidR="003D77E7">
        <w:rPr>
          <w:rFonts w:ascii="華康鋼筆體W2(P)" w:eastAsia="華康鋼筆體W2(P)" w:hint="eastAsia"/>
        </w:rPr>
        <w:t>等至少四種顏色</w:t>
      </w:r>
      <w:r>
        <w:rPr>
          <w:rFonts w:ascii="華康鋼筆體W2(P)" w:eastAsia="華康鋼筆體W2(P)" w:hint="eastAsia"/>
        </w:rPr>
        <w:t>的筆</w:t>
      </w:r>
      <w:r w:rsidR="003D77E7">
        <w:rPr>
          <w:rFonts w:ascii="華康鋼筆體W2(P)" w:eastAsia="華康鋼筆體W2(P)" w:hint="eastAsia"/>
        </w:rPr>
        <w:t>與蠟筆或</w:t>
      </w:r>
      <w:r>
        <w:rPr>
          <w:rFonts w:ascii="華康鋼筆體W2(P)" w:eastAsia="華康鋼筆體W2(P)" w:hint="eastAsia"/>
        </w:rPr>
        <w:t>螢光筆，以利劃重點。</w:t>
      </w:r>
    </w:p>
    <w:p w14:paraId="00A390D6" w14:textId="77777777" w:rsidR="00992DD6" w:rsidRDefault="00992DD6" w:rsidP="00992DD6">
      <w:pPr>
        <w:pStyle w:val="a3"/>
        <w:numPr>
          <w:ilvl w:val="0"/>
          <w:numId w:val="2"/>
        </w:numPr>
        <w:ind w:leftChars="0"/>
        <w:rPr>
          <w:rFonts w:ascii="華康鋼筆體W2(P)" w:eastAsia="華康鋼筆體W2(P)"/>
        </w:rPr>
      </w:pPr>
      <w:r>
        <w:rPr>
          <w:rFonts w:ascii="華康鋼筆體W2(P)" w:eastAsia="華康鋼筆體W2(P)" w:hint="eastAsia"/>
        </w:rPr>
        <w:t>養成舉手發言的習慣，要上廁所或身體不適或有其他事情皆須舉手報備。</w:t>
      </w:r>
    </w:p>
    <w:p w14:paraId="1DF8155F" w14:textId="77777777" w:rsidR="00992DD6" w:rsidRDefault="00992DD6" w:rsidP="00992DD6">
      <w:pPr>
        <w:pStyle w:val="a3"/>
        <w:numPr>
          <w:ilvl w:val="0"/>
          <w:numId w:val="2"/>
        </w:numPr>
        <w:ind w:leftChars="0"/>
        <w:rPr>
          <w:rFonts w:ascii="華康鋼筆體W2(P)" w:eastAsia="華康鋼筆體W2(P)"/>
        </w:rPr>
      </w:pPr>
      <w:r>
        <w:rPr>
          <w:rFonts w:ascii="華康鋼筆體W2(P)" w:eastAsia="華康鋼筆體W2(P)" w:hint="eastAsia"/>
        </w:rPr>
        <w:t>坐姿端正，雙手用來寫字畫重點而非撐頭。請勿趴在桌上(若是生病要告知老師)。</w:t>
      </w:r>
    </w:p>
    <w:p w14:paraId="515896C2" w14:textId="77777777" w:rsidR="00992DD6" w:rsidRDefault="00992DD6" w:rsidP="00992DD6">
      <w:pPr>
        <w:pStyle w:val="a3"/>
        <w:numPr>
          <w:ilvl w:val="0"/>
          <w:numId w:val="2"/>
        </w:numPr>
        <w:ind w:leftChars="0"/>
        <w:rPr>
          <w:rFonts w:ascii="華康鋼筆體W2(P)" w:eastAsia="華康鋼筆體W2(P)"/>
        </w:rPr>
      </w:pPr>
      <w:r>
        <w:rPr>
          <w:rFonts w:ascii="華康鋼筆體W2(P)" w:eastAsia="華康鋼筆體W2(P)" w:hint="eastAsia"/>
        </w:rPr>
        <w:t>上課請準時，特殊原因晚進教室要在門口喊「報告」，等老師允許再進教室，且要立即告知老師原因。</w:t>
      </w:r>
    </w:p>
    <w:p w14:paraId="4E9C6D20" w14:textId="77777777" w:rsidR="00992DD6" w:rsidRDefault="00992DD6" w:rsidP="00992DD6">
      <w:pPr>
        <w:pStyle w:val="a3"/>
        <w:numPr>
          <w:ilvl w:val="0"/>
          <w:numId w:val="2"/>
        </w:numPr>
        <w:ind w:leftChars="0"/>
        <w:rPr>
          <w:rFonts w:ascii="華康鋼筆體W2(P)" w:eastAsia="華康鋼筆體W2(P)"/>
        </w:rPr>
      </w:pPr>
      <w:r>
        <w:rPr>
          <w:rFonts w:ascii="華康鋼筆體W2(P)" w:eastAsia="華康鋼筆體W2(P)" w:hint="eastAsia"/>
        </w:rPr>
        <w:t>專注在課堂，勿做其他事或別科作業。</w:t>
      </w:r>
      <w:r w:rsidR="001D143F">
        <w:rPr>
          <w:rFonts w:ascii="華康鋼筆體W2(P)" w:eastAsia="華康鋼筆體W2(P)" w:hint="eastAsia"/>
        </w:rPr>
        <w:t>請準時交作業。</w:t>
      </w:r>
    </w:p>
    <w:p w14:paraId="62134249" w14:textId="77777777" w:rsidR="00697C95" w:rsidRDefault="00697C95" w:rsidP="00992DD6">
      <w:pPr>
        <w:pStyle w:val="a3"/>
        <w:numPr>
          <w:ilvl w:val="0"/>
          <w:numId w:val="2"/>
        </w:numPr>
        <w:ind w:leftChars="0"/>
        <w:rPr>
          <w:rFonts w:ascii="華康鋼筆體W2(P)" w:eastAsia="華康鋼筆體W2(P)"/>
        </w:rPr>
      </w:pPr>
      <w:r>
        <w:rPr>
          <w:rFonts w:ascii="華康鋼筆體W2(P)" w:eastAsia="華康鋼筆體W2(P)" w:hint="eastAsia"/>
        </w:rPr>
        <w:t>對於課程有聽不懂的地方可於課堂上或下課詢問老師。</w:t>
      </w:r>
    </w:p>
    <w:p w14:paraId="17E2C64F" w14:textId="77777777" w:rsidR="00697C95" w:rsidRDefault="00697C95" w:rsidP="00697C95">
      <w:pPr>
        <w:rPr>
          <w:rFonts w:ascii="華康鋼筆體W2(P)" w:eastAsia="華康鋼筆體W2(P)"/>
        </w:rPr>
      </w:pPr>
    </w:p>
    <w:p w14:paraId="71DE8BBB" w14:textId="77777777" w:rsidR="00697C95" w:rsidRDefault="00697C95" w:rsidP="00697C95">
      <w:pPr>
        <w:rPr>
          <w:rFonts w:ascii="華康鋼筆體W2(P)" w:eastAsia="華康鋼筆體W2(P)"/>
          <w:sz w:val="28"/>
          <w:szCs w:val="28"/>
        </w:rPr>
      </w:pPr>
      <w:r w:rsidRPr="00697C95">
        <w:rPr>
          <w:rFonts w:ascii="華康鋼筆體W2(P)" w:eastAsia="華康鋼筆體W2(P)" w:hint="eastAsia"/>
          <w:sz w:val="28"/>
          <w:szCs w:val="28"/>
        </w:rPr>
        <w:t>二、課程安排</w:t>
      </w:r>
    </w:p>
    <w:p w14:paraId="01A36645" w14:textId="77777777" w:rsidR="00697C95" w:rsidRDefault="00697C95" w:rsidP="00697C95">
      <w:pPr>
        <w:rPr>
          <w:rFonts w:ascii="華康鋼筆體W2(P)" w:eastAsia="華康鋼筆體W2(P)"/>
          <w:szCs w:val="24"/>
        </w:rPr>
      </w:pPr>
      <w:r>
        <w:rPr>
          <w:rFonts w:ascii="華康鋼筆體W2(P)" w:eastAsia="華康鋼筆體W2(P)" w:hint="eastAsia"/>
          <w:szCs w:val="24"/>
        </w:rPr>
        <w:t xml:space="preserve">     國文是一門實用且有趣的科目，只要你專心跟著我，必能讓你打好基礎，實力倍增，往後升上高中也不必擔心。國文的課程安排如下：</w:t>
      </w:r>
    </w:p>
    <w:p w14:paraId="749716BE" w14:textId="77777777" w:rsidR="00697C95" w:rsidRDefault="00697C95" w:rsidP="00697C95">
      <w:pPr>
        <w:rPr>
          <w:rFonts w:ascii="華康鋼筆體W2(P)" w:eastAsia="華康鋼筆體W2(P)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697C95" w14:paraId="30B6C77C" w14:textId="77777777" w:rsidTr="00697C95">
        <w:tc>
          <w:tcPr>
            <w:tcW w:w="1842" w:type="dxa"/>
          </w:tcPr>
          <w:p w14:paraId="63506145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國一</w:t>
            </w:r>
          </w:p>
        </w:tc>
        <w:tc>
          <w:tcPr>
            <w:tcW w:w="7088" w:type="dxa"/>
          </w:tcPr>
          <w:p w14:paraId="1DB08F2D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</w:p>
          <w:p w14:paraId="19717589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</w:p>
        </w:tc>
      </w:tr>
      <w:tr w:rsidR="00697C95" w14:paraId="5CE2685A" w14:textId="77777777" w:rsidTr="00697C95">
        <w:tc>
          <w:tcPr>
            <w:tcW w:w="1842" w:type="dxa"/>
          </w:tcPr>
          <w:p w14:paraId="6F0FBB28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國二</w:t>
            </w:r>
          </w:p>
        </w:tc>
        <w:tc>
          <w:tcPr>
            <w:tcW w:w="7088" w:type="dxa"/>
          </w:tcPr>
          <w:p w14:paraId="498BE8F0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</w:p>
          <w:p w14:paraId="17741F53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</w:p>
        </w:tc>
      </w:tr>
      <w:tr w:rsidR="00697C95" w14:paraId="618838A0" w14:textId="77777777" w:rsidTr="00697C95">
        <w:tc>
          <w:tcPr>
            <w:tcW w:w="1842" w:type="dxa"/>
          </w:tcPr>
          <w:p w14:paraId="74CA1D2F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國三</w:t>
            </w:r>
          </w:p>
        </w:tc>
        <w:tc>
          <w:tcPr>
            <w:tcW w:w="7088" w:type="dxa"/>
          </w:tcPr>
          <w:p w14:paraId="08CE81C6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</w:p>
          <w:p w14:paraId="75553968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</w:p>
        </w:tc>
      </w:tr>
    </w:tbl>
    <w:p w14:paraId="41F1370E" w14:textId="77777777" w:rsidR="00697C95" w:rsidRDefault="00697C95" w:rsidP="00697C95">
      <w:pPr>
        <w:rPr>
          <w:rFonts w:ascii="華康鋼筆體W2(P)" w:eastAsia="華康鋼筆體W2(P)"/>
          <w:szCs w:val="24"/>
        </w:rPr>
      </w:pPr>
    </w:p>
    <w:p w14:paraId="5DD9E143" w14:textId="77777777" w:rsidR="00697C95" w:rsidRDefault="00697C95" w:rsidP="00697C95">
      <w:pPr>
        <w:rPr>
          <w:rFonts w:ascii="華康鋼筆體W2(P)" w:eastAsia="華康鋼筆體W2(P)"/>
          <w:sz w:val="28"/>
          <w:szCs w:val="28"/>
        </w:rPr>
      </w:pPr>
      <w:r w:rsidRPr="00697C95">
        <w:rPr>
          <w:rFonts w:ascii="華康鋼筆體W2(P)" w:eastAsia="華康鋼筆體W2(P)" w:hint="eastAsia"/>
          <w:sz w:val="28"/>
          <w:szCs w:val="28"/>
        </w:rPr>
        <w:t>三、評分標準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132"/>
        <w:gridCol w:w="1419"/>
        <w:gridCol w:w="1381"/>
        <w:gridCol w:w="1400"/>
        <w:gridCol w:w="1401"/>
        <w:gridCol w:w="1401"/>
      </w:tblGrid>
      <w:tr w:rsidR="00697C95" w14:paraId="764616F5" w14:textId="77777777" w:rsidTr="003D1E7D">
        <w:tc>
          <w:tcPr>
            <w:tcW w:w="5208" w:type="dxa"/>
            <w:gridSpan w:val="4"/>
          </w:tcPr>
          <w:p w14:paraId="0AA3A4A1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平時成績50%</w:t>
            </w:r>
          </w:p>
        </w:tc>
        <w:tc>
          <w:tcPr>
            <w:tcW w:w="4202" w:type="dxa"/>
            <w:gridSpan w:val="3"/>
          </w:tcPr>
          <w:p w14:paraId="42EF6D6F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段考成績50%</w:t>
            </w:r>
          </w:p>
        </w:tc>
      </w:tr>
      <w:tr w:rsidR="00697C95" w14:paraId="6AD8D233" w14:textId="77777777" w:rsidTr="003D1E7D">
        <w:tc>
          <w:tcPr>
            <w:tcW w:w="1276" w:type="dxa"/>
          </w:tcPr>
          <w:p w14:paraId="79EBBAD3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學習態度</w:t>
            </w:r>
          </w:p>
        </w:tc>
        <w:tc>
          <w:tcPr>
            <w:tcW w:w="1132" w:type="dxa"/>
          </w:tcPr>
          <w:p w14:paraId="636B1A60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筆記</w:t>
            </w:r>
          </w:p>
        </w:tc>
        <w:tc>
          <w:tcPr>
            <w:tcW w:w="1419" w:type="dxa"/>
          </w:tcPr>
          <w:p w14:paraId="1EDFBA1B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小考+訂正</w:t>
            </w:r>
          </w:p>
        </w:tc>
        <w:tc>
          <w:tcPr>
            <w:tcW w:w="1381" w:type="dxa"/>
          </w:tcPr>
          <w:p w14:paraId="07F36080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作文</w:t>
            </w:r>
          </w:p>
        </w:tc>
        <w:tc>
          <w:tcPr>
            <w:tcW w:w="1400" w:type="dxa"/>
          </w:tcPr>
          <w:p w14:paraId="1EC9B4F1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第一次</w:t>
            </w:r>
          </w:p>
        </w:tc>
        <w:tc>
          <w:tcPr>
            <w:tcW w:w="1401" w:type="dxa"/>
          </w:tcPr>
          <w:p w14:paraId="3B2F3BFF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第二次</w:t>
            </w:r>
          </w:p>
        </w:tc>
        <w:tc>
          <w:tcPr>
            <w:tcW w:w="1401" w:type="dxa"/>
          </w:tcPr>
          <w:p w14:paraId="1E1D7331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期末考</w:t>
            </w:r>
          </w:p>
        </w:tc>
      </w:tr>
      <w:tr w:rsidR="00697C95" w14:paraId="2B8615A3" w14:textId="77777777" w:rsidTr="003D1E7D">
        <w:tc>
          <w:tcPr>
            <w:tcW w:w="1276" w:type="dxa"/>
          </w:tcPr>
          <w:p w14:paraId="1B04DF99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20%</w:t>
            </w:r>
          </w:p>
        </w:tc>
        <w:tc>
          <w:tcPr>
            <w:tcW w:w="1132" w:type="dxa"/>
          </w:tcPr>
          <w:p w14:paraId="2502A7CE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30%</w:t>
            </w:r>
          </w:p>
        </w:tc>
        <w:tc>
          <w:tcPr>
            <w:tcW w:w="1419" w:type="dxa"/>
          </w:tcPr>
          <w:p w14:paraId="71EC5EA7" w14:textId="77777777" w:rsidR="00697C95" w:rsidRDefault="003D1E7D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30</w:t>
            </w:r>
            <w:r w:rsidR="00697C95">
              <w:rPr>
                <w:rFonts w:ascii="華康鋼筆體W2(P)" w:eastAsia="華康鋼筆體W2(P)" w:hint="eastAsia"/>
                <w:szCs w:val="24"/>
              </w:rPr>
              <w:t>%</w:t>
            </w:r>
          </w:p>
        </w:tc>
        <w:tc>
          <w:tcPr>
            <w:tcW w:w="1381" w:type="dxa"/>
          </w:tcPr>
          <w:p w14:paraId="13F81E30" w14:textId="77777777" w:rsidR="00697C95" w:rsidRDefault="003D1E7D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20</w:t>
            </w:r>
            <w:r w:rsidR="00697C95">
              <w:rPr>
                <w:rFonts w:ascii="華康鋼筆體W2(P)" w:eastAsia="華康鋼筆體W2(P)" w:hint="eastAsia"/>
                <w:szCs w:val="24"/>
              </w:rPr>
              <w:t>%</w:t>
            </w:r>
          </w:p>
        </w:tc>
        <w:tc>
          <w:tcPr>
            <w:tcW w:w="1400" w:type="dxa"/>
          </w:tcPr>
          <w:p w14:paraId="30AAD21C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30%</w:t>
            </w:r>
          </w:p>
        </w:tc>
        <w:tc>
          <w:tcPr>
            <w:tcW w:w="1401" w:type="dxa"/>
          </w:tcPr>
          <w:p w14:paraId="244B3844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30%</w:t>
            </w:r>
          </w:p>
        </w:tc>
        <w:tc>
          <w:tcPr>
            <w:tcW w:w="1401" w:type="dxa"/>
          </w:tcPr>
          <w:p w14:paraId="74BA561A" w14:textId="77777777" w:rsidR="00697C95" w:rsidRDefault="00697C95" w:rsidP="00697C95">
            <w:pPr>
              <w:rPr>
                <w:rFonts w:ascii="華康鋼筆體W2(P)" w:eastAsia="華康鋼筆體W2(P)"/>
                <w:szCs w:val="24"/>
              </w:rPr>
            </w:pPr>
            <w:r>
              <w:rPr>
                <w:rFonts w:ascii="華康鋼筆體W2(P)" w:eastAsia="華康鋼筆體W2(P)" w:hint="eastAsia"/>
                <w:szCs w:val="24"/>
              </w:rPr>
              <w:t>40%</w:t>
            </w:r>
          </w:p>
        </w:tc>
      </w:tr>
    </w:tbl>
    <w:p w14:paraId="51F8E129" w14:textId="77777777" w:rsidR="00697C95" w:rsidRDefault="00697C95" w:rsidP="00697C95">
      <w:pPr>
        <w:rPr>
          <w:rFonts w:ascii="華康鋼筆體W2(P)" w:eastAsia="華康鋼筆體W2(P)"/>
          <w:szCs w:val="24"/>
        </w:rPr>
      </w:pPr>
    </w:p>
    <w:p w14:paraId="53E2BEA8" w14:textId="77777777" w:rsidR="00697C95" w:rsidRDefault="00697C95" w:rsidP="00697C95">
      <w:pPr>
        <w:rPr>
          <w:rFonts w:ascii="華康鋼筆體W2(P)" w:eastAsia="華康鋼筆體W2(P)"/>
          <w:szCs w:val="24"/>
        </w:rPr>
      </w:pPr>
      <w:r>
        <w:rPr>
          <w:rFonts w:ascii="華康鋼筆體W2(P)" w:eastAsia="華康鋼筆體W2(P)" w:hint="eastAsia"/>
          <w:szCs w:val="24"/>
        </w:rPr>
        <w:t>若閱讀完以上課堂規則，沒有問題後，請於下方簽名並寫上今天日期。</w:t>
      </w:r>
    </w:p>
    <w:p w14:paraId="3CB907ED" w14:textId="3EC90E2B" w:rsidR="00697C95" w:rsidRPr="00697C95" w:rsidRDefault="00697C95" w:rsidP="00697C95">
      <w:pPr>
        <w:rPr>
          <w:rFonts w:ascii="標楷體" w:eastAsia="標楷體" w:hAnsi="標楷體"/>
          <w:szCs w:val="24"/>
        </w:rPr>
      </w:pPr>
      <w:r>
        <w:rPr>
          <w:rFonts w:ascii="華康鋼筆體W2(P)" w:eastAsia="華康鋼筆體W2(P)" w:hint="eastAsia"/>
          <w:szCs w:val="24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</w:rPr>
        <w:t>琹云老師</w:t>
      </w:r>
      <w:r w:rsidR="00475DEB">
        <w:rPr>
          <w:rFonts w:ascii="標楷體" w:eastAsia="標楷體" w:hAnsi="標楷體" w:hint="eastAsia"/>
          <w:szCs w:val="24"/>
        </w:rPr>
        <w:t xml:space="preserve"> 104.07.28</w:t>
      </w:r>
      <w:bookmarkStart w:id="0" w:name="_GoBack"/>
      <w:bookmarkEnd w:id="0"/>
    </w:p>
    <w:sectPr w:rsidR="00697C95" w:rsidRPr="00697C95" w:rsidSect="00992D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華康鋼筆體W2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5F70"/>
    <w:multiLevelType w:val="hybridMultilevel"/>
    <w:tmpl w:val="22A45208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>
    <w:nsid w:val="6E562858"/>
    <w:multiLevelType w:val="hybridMultilevel"/>
    <w:tmpl w:val="E88CE0E0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DD6"/>
    <w:rsid w:val="00013BFE"/>
    <w:rsid w:val="00127B1C"/>
    <w:rsid w:val="001D143F"/>
    <w:rsid w:val="002363A1"/>
    <w:rsid w:val="003D1E7D"/>
    <w:rsid w:val="003D77E7"/>
    <w:rsid w:val="00475DEB"/>
    <w:rsid w:val="00697C95"/>
    <w:rsid w:val="00992DD6"/>
    <w:rsid w:val="00E3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E556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DD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92DD6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992DD6"/>
  </w:style>
  <w:style w:type="character" w:customStyle="1" w:styleId="Char">
    <w:name w:val="註解文字 Char"/>
    <w:basedOn w:val="a0"/>
    <w:link w:val="a5"/>
    <w:uiPriority w:val="99"/>
    <w:semiHidden/>
    <w:rsid w:val="00992DD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92DD6"/>
    <w:rPr>
      <w:b/>
      <w:bCs/>
    </w:rPr>
  </w:style>
  <w:style w:type="character" w:customStyle="1" w:styleId="Char0">
    <w:name w:val="註解主旨 Char"/>
    <w:basedOn w:val="Char"/>
    <w:link w:val="a6"/>
    <w:uiPriority w:val="99"/>
    <w:semiHidden/>
    <w:rsid w:val="00992DD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92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7"/>
    <w:uiPriority w:val="99"/>
    <w:semiHidden/>
    <w:rsid w:val="00992DD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697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Gin Cheng</cp:lastModifiedBy>
  <cp:revision>8</cp:revision>
  <dcterms:created xsi:type="dcterms:W3CDTF">2014-07-24T04:25:00Z</dcterms:created>
  <dcterms:modified xsi:type="dcterms:W3CDTF">2015-07-28T03:14:00Z</dcterms:modified>
</cp:coreProperties>
</file>